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color w:val="171A1D"/>
          <w:sz w:val="24"/>
          <w:szCs w:val="24"/>
          <w:shd w:val="clear" w:color="auto" w:fill="FFFFFF"/>
        </w:rPr>
        <w:t>宁波市镇海</w:t>
      </w:r>
      <w:r>
        <w:rPr>
          <w:rFonts w:hint="eastAsia" w:ascii="宋体" w:hAnsi="宋体" w:cs="宋体"/>
          <w:b w:val="0"/>
          <w:bCs w:val="0"/>
          <w:color w:val="171A1D"/>
          <w:sz w:val="24"/>
          <w:szCs w:val="24"/>
          <w:shd w:val="clear" w:color="auto" w:fill="FFFFFF"/>
          <w:lang w:val="en-US" w:eastAsia="zh-CN"/>
        </w:rPr>
        <w:t>围垦工程</w:t>
      </w:r>
      <w:r>
        <w:rPr>
          <w:rFonts w:hint="eastAsia" w:ascii="宋体" w:hAnsi="宋体" w:cs="宋体"/>
          <w:b w:val="0"/>
          <w:bCs w:val="0"/>
          <w:color w:val="171A1D"/>
          <w:sz w:val="24"/>
          <w:szCs w:val="24"/>
          <w:shd w:val="clear" w:color="auto" w:fill="FFFFFF"/>
        </w:rPr>
        <w:t>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716"/>
        <w:gridCol w:w="945"/>
        <w:gridCol w:w="1467"/>
        <w:gridCol w:w="1250"/>
        <w:gridCol w:w="1043"/>
        <w:gridCol w:w="1101"/>
        <w:gridCol w:w="1388"/>
      </w:tblGrid>
      <w:tr w14:paraId="188F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12" w:type="dxa"/>
            <w:vAlign w:val="center"/>
          </w:tcPr>
          <w:p w14:paraId="6E7B2AEB">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716" w:type="dxa"/>
            <w:vAlign w:val="center"/>
          </w:tcPr>
          <w:p w14:paraId="7CBC5BF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5C209B3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945" w:type="dxa"/>
            <w:vAlign w:val="center"/>
          </w:tcPr>
          <w:p w14:paraId="04841F0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467" w:type="dxa"/>
            <w:vAlign w:val="center"/>
          </w:tcPr>
          <w:p w14:paraId="4322308A">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250" w:type="dxa"/>
            <w:vAlign w:val="center"/>
          </w:tcPr>
          <w:p w14:paraId="3ED6BB60">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043" w:type="dxa"/>
            <w:vAlign w:val="center"/>
          </w:tcPr>
          <w:p w14:paraId="675EA3D0">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13EB814B">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101" w:type="dxa"/>
            <w:vAlign w:val="center"/>
          </w:tcPr>
          <w:p w14:paraId="6A5477E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c>
          <w:tcPr>
            <w:tcW w:w="1388" w:type="dxa"/>
            <w:vAlign w:val="center"/>
          </w:tcPr>
          <w:p w14:paraId="206E251B">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现状</w:t>
            </w:r>
          </w:p>
        </w:tc>
      </w:tr>
      <w:tr w14:paraId="144D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712" w:type="dxa"/>
            <w:vAlign w:val="center"/>
          </w:tcPr>
          <w:p w14:paraId="6CA9706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716" w:type="dxa"/>
            <w:vAlign w:val="center"/>
          </w:tcPr>
          <w:p w14:paraId="3C8E409A">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 xml:space="preserve">镇海区招宝山街道包兴路13号405室 </w:t>
            </w:r>
          </w:p>
          <w:p w14:paraId="0C1B509B">
            <w:pPr>
              <w:jc w:val="center"/>
              <w:rPr>
                <w:rFonts w:hint="default" w:ascii="宋体" w:hAnsi="宋体" w:cs="宋体"/>
                <w:color w:val="auto"/>
                <w:szCs w:val="21"/>
                <w:highlight w:val="none"/>
                <w:lang w:val="en-US" w:eastAsia="zh-CN" w:bidi="zh-CN"/>
              </w:rPr>
            </w:pPr>
          </w:p>
        </w:tc>
        <w:tc>
          <w:tcPr>
            <w:tcW w:w="945" w:type="dxa"/>
            <w:vAlign w:val="center"/>
          </w:tcPr>
          <w:p w14:paraId="5AE4C98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住宅</w:t>
            </w:r>
          </w:p>
        </w:tc>
        <w:tc>
          <w:tcPr>
            <w:tcW w:w="1467" w:type="dxa"/>
            <w:vAlign w:val="center"/>
          </w:tcPr>
          <w:p w14:paraId="22798C98">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57.12</w:t>
            </w:r>
          </w:p>
        </w:tc>
        <w:tc>
          <w:tcPr>
            <w:tcW w:w="1250" w:type="dxa"/>
            <w:vAlign w:val="center"/>
          </w:tcPr>
          <w:p w14:paraId="46072D7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11900</w:t>
            </w:r>
          </w:p>
        </w:tc>
        <w:tc>
          <w:tcPr>
            <w:tcW w:w="1043" w:type="dxa"/>
            <w:vAlign w:val="center"/>
          </w:tcPr>
          <w:p w14:paraId="1397F28E">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2000</w:t>
            </w:r>
          </w:p>
        </w:tc>
        <w:tc>
          <w:tcPr>
            <w:tcW w:w="1101" w:type="dxa"/>
            <w:vAlign w:val="center"/>
          </w:tcPr>
          <w:p w14:paraId="613B8BD0">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7C89B8D4">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出租（2024.12.6到期）</w:t>
            </w:r>
          </w:p>
        </w:tc>
      </w:tr>
      <w:tr w14:paraId="418D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Align w:val="center"/>
          </w:tcPr>
          <w:p w14:paraId="38712BE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2</w:t>
            </w:r>
          </w:p>
        </w:tc>
        <w:tc>
          <w:tcPr>
            <w:tcW w:w="1716" w:type="dxa"/>
            <w:vAlign w:val="center"/>
          </w:tcPr>
          <w:p w14:paraId="024421F9">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 xml:space="preserve">镇海区招宝山街道包兴路13号505室 </w:t>
            </w:r>
          </w:p>
          <w:p w14:paraId="202AF2E5">
            <w:pPr>
              <w:spacing w:line="260" w:lineRule="exact"/>
              <w:ind w:right="200"/>
              <w:jc w:val="center"/>
              <w:rPr>
                <w:rFonts w:hint="default" w:ascii="宋体" w:hAnsi="宋体" w:cs="宋体"/>
                <w:color w:val="auto"/>
                <w:szCs w:val="21"/>
                <w:highlight w:val="none"/>
                <w:lang w:val="en-US"/>
              </w:rPr>
            </w:pPr>
          </w:p>
        </w:tc>
        <w:tc>
          <w:tcPr>
            <w:tcW w:w="945" w:type="dxa"/>
            <w:vAlign w:val="center"/>
          </w:tcPr>
          <w:p w14:paraId="1C4B6E2F">
            <w:pPr>
              <w:jc w:val="center"/>
              <w:rPr>
                <w:rFonts w:ascii="宋体" w:hAnsi="宋体" w:cs="宋体"/>
                <w:color w:val="auto"/>
                <w:szCs w:val="21"/>
                <w:highlight w:val="none"/>
              </w:rPr>
            </w:pPr>
            <w:r>
              <w:rPr>
                <w:rFonts w:hint="eastAsia" w:ascii="宋体" w:hAnsi="宋体" w:cs="宋体"/>
                <w:color w:val="auto"/>
                <w:szCs w:val="21"/>
                <w:highlight w:val="none"/>
                <w:lang w:val="en-US" w:bidi="zh-CN"/>
              </w:rPr>
              <w:t>住宅</w:t>
            </w:r>
          </w:p>
        </w:tc>
        <w:tc>
          <w:tcPr>
            <w:tcW w:w="1467" w:type="dxa"/>
            <w:vAlign w:val="center"/>
          </w:tcPr>
          <w:p w14:paraId="6080BF7B">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bidi="zh-CN"/>
              </w:rPr>
              <w:t>57.12</w:t>
            </w:r>
          </w:p>
        </w:tc>
        <w:tc>
          <w:tcPr>
            <w:tcW w:w="1250" w:type="dxa"/>
            <w:vAlign w:val="center"/>
          </w:tcPr>
          <w:p w14:paraId="39CD478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11700</w:t>
            </w:r>
          </w:p>
        </w:tc>
        <w:tc>
          <w:tcPr>
            <w:tcW w:w="1043" w:type="dxa"/>
            <w:vAlign w:val="center"/>
          </w:tcPr>
          <w:p w14:paraId="102EAB6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2000</w:t>
            </w:r>
          </w:p>
        </w:tc>
        <w:tc>
          <w:tcPr>
            <w:tcW w:w="1101" w:type="dxa"/>
            <w:vAlign w:val="center"/>
          </w:tcPr>
          <w:p w14:paraId="5588ACA6">
            <w:pPr>
              <w:widowControl/>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22DF435E">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出租（2024.12.6到期）</w:t>
            </w:r>
          </w:p>
        </w:tc>
      </w:tr>
      <w:tr w14:paraId="1CA1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712" w:type="dxa"/>
            <w:vAlign w:val="center"/>
          </w:tcPr>
          <w:p w14:paraId="64C65A7F">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716" w:type="dxa"/>
            <w:vAlign w:val="center"/>
          </w:tcPr>
          <w:p w14:paraId="5E827EB0">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 xml:space="preserve">镇海区招宝山街道包兴路13号605室 </w:t>
            </w:r>
          </w:p>
          <w:p w14:paraId="0AF72575">
            <w:pPr>
              <w:spacing w:line="260" w:lineRule="exact"/>
              <w:ind w:right="200" w:rightChars="0"/>
              <w:jc w:val="center"/>
              <w:rPr>
                <w:rFonts w:ascii="宋体" w:hAnsi="宋体" w:cs="宋体"/>
                <w:color w:val="auto"/>
                <w:szCs w:val="21"/>
                <w:highlight w:val="none"/>
              </w:rPr>
            </w:pPr>
          </w:p>
        </w:tc>
        <w:tc>
          <w:tcPr>
            <w:tcW w:w="945" w:type="dxa"/>
            <w:vAlign w:val="center"/>
          </w:tcPr>
          <w:p w14:paraId="1D1AC31A">
            <w:pPr>
              <w:jc w:val="center"/>
              <w:rPr>
                <w:rFonts w:ascii="宋体" w:hAnsi="宋体" w:cs="宋体"/>
                <w:color w:val="auto"/>
                <w:szCs w:val="21"/>
                <w:highlight w:val="none"/>
              </w:rPr>
            </w:pPr>
            <w:r>
              <w:rPr>
                <w:rFonts w:hint="eastAsia" w:ascii="宋体" w:hAnsi="宋体" w:cs="宋体"/>
                <w:color w:val="auto"/>
                <w:szCs w:val="21"/>
                <w:highlight w:val="none"/>
                <w:lang w:val="en-US" w:bidi="zh-CN"/>
              </w:rPr>
              <w:t>住宅</w:t>
            </w:r>
          </w:p>
        </w:tc>
        <w:tc>
          <w:tcPr>
            <w:tcW w:w="1467" w:type="dxa"/>
            <w:vAlign w:val="center"/>
          </w:tcPr>
          <w:p w14:paraId="26E5DF68">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bidi="zh-CN"/>
              </w:rPr>
              <w:t>57.12</w:t>
            </w:r>
          </w:p>
        </w:tc>
        <w:tc>
          <w:tcPr>
            <w:tcW w:w="1250" w:type="dxa"/>
            <w:vAlign w:val="center"/>
          </w:tcPr>
          <w:p w14:paraId="44255037">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11500</w:t>
            </w:r>
          </w:p>
        </w:tc>
        <w:tc>
          <w:tcPr>
            <w:tcW w:w="1043" w:type="dxa"/>
            <w:vAlign w:val="center"/>
          </w:tcPr>
          <w:p w14:paraId="47E0404F">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2000</w:t>
            </w:r>
          </w:p>
        </w:tc>
        <w:tc>
          <w:tcPr>
            <w:tcW w:w="1101" w:type="dxa"/>
            <w:vAlign w:val="center"/>
          </w:tcPr>
          <w:p w14:paraId="2FCDBDBE">
            <w:pPr>
              <w:widowControl/>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20547EDC">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tc>
      </w:tr>
      <w:tr w14:paraId="3DEE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1EFA48CB">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716" w:type="dxa"/>
            <w:vAlign w:val="center"/>
          </w:tcPr>
          <w:p w14:paraId="12FE88D7">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镇海区招宝山街道三角地19-21（单号）</w:t>
            </w:r>
          </w:p>
        </w:tc>
        <w:tc>
          <w:tcPr>
            <w:tcW w:w="945" w:type="dxa"/>
            <w:vAlign w:val="center"/>
          </w:tcPr>
          <w:p w14:paraId="131DCA18">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467" w:type="dxa"/>
            <w:vAlign w:val="center"/>
          </w:tcPr>
          <w:p w14:paraId="4638BB21">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106.35</w:t>
            </w:r>
          </w:p>
        </w:tc>
        <w:tc>
          <w:tcPr>
            <w:tcW w:w="1250" w:type="dxa"/>
            <w:vAlign w:val="center"/>
          </w:tcPr>
          <w:p w14:paraId="1E2A9675">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75300</w:t>
            </w:r>
          </w:p>
        </w:tc>
        <w:tc>
          <w:tcPr>
            <w:tcW w:w="1043" w:type="dxa"/>
            <w:vAlign w:val="center"/>
          </w:tcPr>
          <w:p w14:paraId="1DF00B3D">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0F88E18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40D9BB4B">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出租（2025.3.16到期）</w:t>
            </w:r>
          </w:p>
        </w:tc>
      </w:tr>
      <w:tr w14:paraId="48CF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3F7110F5">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716" w:type="dxa"/>
            <w:vAlign w:val="center"/>
          </w:tcPr>
          <w:p w14:paraId="3D6F4AE5">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镇海区招宝山街道三角地23（单号）</w:t>
            </w:r>
          </w:p>
        </w:tc>
        <w:tc>
          <w:tcPr>
            <w:tcW w:w="945" w:type="dxa"/>
            <w:vAlign w:val="center"/>
          </w:tcPr>
          <w:p w14:paraId="46964160">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467" w:type="dxa"/>
            <w:vAlign w:val="center"/>
          </w:tcPr>
          <w:p w14:paraId="3C76849B">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94.31</w:t>
            </w:r>
          </w:p>
        </w:tc>
        <w:tc>
          <w:tcPr>
            <w:tcW w:w="1250" w:type="dxa"/>
            <w:vAlign w:val="center"/>
          </w:tcPr>
          <w:p w14:paraId="228F0E04">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60900</w:t>
            </w:r>
          </w:p>
        </w:tc>
        <w:tc>
          <w:tcPr>
            <w:tcW w:w="1043" w:type="dxa"/>
            <w:vAlign w:val="center"/>
          </w:tcPr>
          <w:p w14:paraId="2864D31A">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4CCF030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36BA15D2">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出租（2025.3.16到期）</w:t>
            </w:r>
          </w:p>
        </w:tc>
      </w:tr>
      <w:tr w14:paraId="6062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0DB3B81E">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716" w:type="dxa"/>
            <w:vAlign w:val="center"/>
          </w:tcPr>
          <w:p w14:paraId="6EC0BC66">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镇海区招宝山街道三角地25-27（单号）</w:t>
            </w:r>
          </w:p>
        </w:tc>
        <w:tc>
          <w:tcPr>
            <w:tcW w:w="945" w:type="dxa"/>
            <w:vAlign w:val="center"/>
          </w:tcPr>
          <w:p w14:paraId="072D5458">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467" w:type="dxa"/>
            <w:vAlign w:val="center"/>
          </w:tcPr>
          <w:p w14:paraId="28C1CDFD">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76.04</w:t>
            </w:r>
          </w:p>
        </w:tc>
        <w:tc>
          <w:tcPr>
            <w:tcW w:w="1250" w:type="dxa"/>
            <w:vAlign w:val="center"/>
          </w:tcPr>
          <w:p w14:paraId="57C4791E">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53800</w:t>
            </w:r>
          </w:p>
        </w:tc>
        <w:tc>
          <w:tcPr>
            <w:tcW w:w="1043" w:type="dxa"/>
            <w:vAlign w:val="center"/>
          </w:tcPr>
          <w:p w14:paraId="6C9BF6F2">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00F3D42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681392C4">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tc>
      </w:tr>
    </w:tbl>
    <w:p w14:paraId="0AC6C770">
      <w:pPr>
        <w:spacing w:line="500" w:lineRule="exact"/>
        <w:ind w:firstLine="482" w:firstLineChars="200"/>
        <w:rPr>
          <w:rFonts w:hint="eastAsia" w:ascii="宋体" w:hAnsi="宋体" w:eastAsia="宋体" w:cs="宋体"/>
          <w:b/>
          <w:color w:val="auto"/>
          <w:sz w:val="24"/>
          <w:szCs w:val="24"/>
          <w:highlight w:val="none"/>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BFF7B3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eastAsia="zh-CN"/>
        </w:rPr>
        <w:t>年租金的百分之十</w:t>
      </w:r>
      <w:r>
        <w:rPr>
          <w:rFonts w:hint="eastAsia" w:ascii="宋体" w:hAnsi="宋体" w:eastAsia="宋体" w:cs="宋体"/>
          <w:b/>
          <w:bCs/>
          <w:color w:val="auto"/>
          <w:kern w:val="0"/>
          <w:sz w:val="24"/>
          <w:szCs w:val="24"/>
          <w:u w:val="single"/>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w:t>
      </w:r>
      <w:r>
        <w:rPr>
          <w:rFonts w:hint="eastAsia" w:ascii="宋体" w:hAnsi="宋体" w:eastAsia="宋体" w:cs="宋体"/>
          <w:spacing w:val="-4"/>
          <w:sz w:val="24"/>
          <w:szCs w:val="24"/>
          <w:u w:val="single"/>
        </w:rPr>
        <w:t>称:</w:t>
      </w:r>
      <w:r>
        <w:rPr>
          <w:rFonts w:hint="eastAsia" w:ascii="宋体" w:hAnsi="宋体" w:eastAsia="宋体" w:cs="宋体"/>
          <w:spacing w:val="-4"/>
          <w:sz w:val="24"/>
          <w:szCs w:val="24"/>
          <w:u w:val="single"/>
          <w:lang w:eastAsia="zh-CN"/>
        </w:rPr>
        <w:t>宁波市镇海围垦工程有限公司，开户行：农行镇海支行，账号：</w:t>
      </w:r>
      <w:r>
        <w:rPr>
          <w:rFonts w:hint="eastAsia" w:ascii="宋体" w:hAnsi="宋体" w:eastAsia="宋体" w:cs="宋体"/>
          <w:spacing w:val="-4"/>
          <w:sz w:val="24"/>
          <w:szCs w:val="24"/>
          <w:u w:val="single"/>
          <w:lang w:val="en-US" w:eastAsia="zh-CN"/>
        </w:rPr>
        <w:t>39252001040001300</w:t>
      </w:r>
      <w:r>
        <w:rPr>
          <w:rFonts w:hint="eastAsia" w:ascii="宋体" w:hAnsi="宋体" w:eastAsia="宋体" w:cs="宋体"/>
          <w:spacing w:val="-4"/>
          <w:sz w:val="24"/>
          <w:szCs w:val="24"/>
          <w:u w:val="single"/>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《房屋土地租赁合同》、《出租资产安全协议》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C68AF3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bookmarkStart w:id="6" w:name="_GoBack"/>
      <w:bookmarkEnd w:id="6"/>
      <w:r>
        <w:rPr>
          <w:rFonts w:hint="eastAsia" w:ascii="宋体" w:hAnsi="宋体" w:eastAsia="宋体" w:cs="宋体"/>
          <w:color w:val="auto"/>
          <w:sz w:val="24"/>
          <w:szCs w:val="24"/>
        </w:rPr>
        <w:t>日</w:t>
      </w:r>
    </w:p>
    <w:p w14:paraId="3AAC6F15">
      <w:pPr>
        <w:adjustRightInd w:val="0"/>
        <w:snapToGrid w:val="0"/>
        <w:spacing w:line="560" w:lineRule="exact"/>
        <w:jc w:val="center"/>
        <w:rPr>
          <w:rFonts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US" w:eastAsia="zh-CN"/>
        </w:rPr>
        <w:t xml:space="preserve">                             </w:t>
      </w: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1CEE6DE0">
      <w:pPr>
        <w:adjustRightInd w:val="0"/>
        <w:snapToGrid w:val="0"/>
        <w:spacing w:after="120"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w:t>
      </w:r>
    </w:p>
    <w:p w14:paraId="740BD222">
      <w:pPr>
        <w:adjustRightInd w:val="0"/>
        <w:snapToGrid w:val="0"/>
        <w:spacing w:line="560" w:lineRule="exact"/>
        <w:jc w:val="both"/>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出租方：</w:t>
      </w: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甲</w:t>
      </w:r>
      <w:r>
        <w:rPr>
          <w:rFonts w:hint="eastAsia" w:ascii="仿宋_GB2312" w:hAnsi="仿宋" w:eastAsia="仿宋_GB2312"/>
          <w:color w:val="auto"/>
          <w:sz w:val="32"/>
          <w:szCs w:val="32"/>
          <w:lang w:eastAsia="zh-CN"/>
        </w:rPr>
        <w:t>方）</w:t>
      </w:r>
    </w:p>
    <w:p w14:paraId="0D2ACA0D">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431685C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0BB4D6B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31C59C0F">
      <w:pPr>
        <w:adjustRightInd w:val="0"/>
        <w:snapToGrid w:val="0"/>
        <w:spacing w:line="560" w:lineRule="exact"/>
        <w:jc w:val="both"/>
        <w:rPr>
          <w:rFonts w:ascii="仿宋_GB2312" w:hAnsi="仿宋" w:eastAsia="仿宋_GB2312"/>
          <w:color w:val="auto"/>
          <w:sz w:val="32"/>
          <w:szCs w:val="32"/>
          <w:lang w:eastAsia="zh-CN"/>
        </w:rPr>
      </w:pPr>
    </w:p>
    <w:p w14:paraId="0B1C67A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r>
        <w:rPr>
          <w:rFonts w:hint="eastAsia" w:ascii="仿宋_GB2312" w:hAnsi="仿宋" w:eastAsia="仿宋_GB2312"/>
          <w:color w:val="auto"/>
          <w:sz w:val="32"/>
          <w:szCs w:val="32"/>
          <w:u w:val="none"/>
          <w:lang w:eastAsia="zh-CN"/>
        </w:rPr>
        <w:t xml:space="preserve">                             </w:t>
      </w:r>
      <w:r>
        <w:rPr>
          <w:rFonts w:hint="eastAsia" w:ascii="仿宋_GB2312" w:hAnsi="仿宋" w:eastAsia="仿宋_GB2312"/>
          <w:color w:val="auto"/>
          <w:sz w:val="32"/>
          <w:szCs w:val="32"/>
          <w:lang w:eastAsia="zh-CN"/>
        </w:rPr>
        <w:t>（以下简称乙方）</w:t>
      </w:r>
    </w:p>
    <w:p w14:paraId="601606CF">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7EBBD99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3886E746">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0327EE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5B1D91D1">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32D87D1E">
      <w:pPr>
        <w:adjustRightInd w:val="0"/>
        <w:snapToGrid w:val="0"/>
        <w:spacing w:line="560" w:lineRule="exact"/>
        <w:ind w:left="420" w:firstLine="217" w:firstLineChars="68"/>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，租赁资产建筑面积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平方米，土地面积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亩，租赁资产用途</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。（附红线标注的资产平面图与权证证明）</w:t>
      </w:r>
    </w:p>
    <w:p w14:paraId="76E3D15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w:t>
      </w:r>
    </w:p>
    <w:p w14:paraId="01E0B71F">
      <w:pPr>
        <w:adjustRightInd w:val="0"/>
        <w:snapToGrid w:val="0"/>
        <w:spacing w:line="560" w:lineRule="exact"/>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6B7EBBD5">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73AA4EC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7FDE5E0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7C2ACC6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6EB15F7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774D5D5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日为装修期，免收租金）。</w:t>
      </w:r>
    </w:p>
    <w:p w14:paraId="4F14A34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6178B0FD">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4E07AB5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u w:val="none"/>
          <w:lang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639B901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1A78A8E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1、乙方及其相关人员过错造成甲方的损失（包括但不限于甲方因乙方违约行为遭受的政府部门的处罚及名誉商誉损失等）；</w:t>
      </w:r>
    </w:p>
    <w:p w14:paraId="22AD17FA">
      <w:p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2、乙方依据本合同支付的违约金、赔偿损失等；</w:t>
      </w:r>
    </w:p>
    <w:p w14:paraId="50C1189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3、欠付租金及与本合同相关的其他费用。</w:t>
      </w:r>
    </w:p>
    <w:p w14:paraId="6907A21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2CFAE048">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18F9738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（一）该资产年租金含税为人民币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不含税为</w:t>
      </w:r>
      <w:r>
        <w:rPr>
          <w:rFonts w:hint="eastAsia" w:ascii="仿宋_GB2312" w:hAnsi="仿宋" w:eastAsia="仿宋_GB2312"/>
          <w:color w:val="auto"/>
          <w:sz w:val="32"/>
          <w:szCs w:val="32"/>
          <w:lang w:eastAsia="zh-CN"/>
        </w:rPr>
        <w:t>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不含税价在合同租期内不作调整</w:t>
      </w:r>
      <w:r>
        <w:rPr>
          <w:rFonts w:hint="eastAsia" w:ascii="仿宋_GB2312" w:hAnsi="仿宋" w:eastAsia="仿宋_GB2312"/>
          <w:color w:val="auto"/>
          <w:sz w:val="32"/>
          <w:szCs w:val="32"/>
          <w:lang w:eastAsia="zh-CN"/>
        </w:rPr>
        <w:t>。出租资产先付款后使用，半年一付原则执行，在此合同签订之日起</w:t>
      </w:r>
      <w:r>
        <w:rPr>
          <w:rFonts w:hint="eastAsia" w:ascii="仿宋_GB2312" w:hAnsi="仿宋" w:eastAsia="仿宋_GB2312"/>
          <w:color w:val="auto"/>
          <w:sz w:val="32"/>
          <w:szCs w:val="32"/>
          <w:u w:val="single"/>
          <w:lang w:eastAsia="zh-CN"/>
        </w:rPr>
        <w:t>_10_</w:t>
      </w:r>
      <w:r>
        <w:rPr>
          <w:rFonts w:hint="eastAsia" w:ascii="仿宋_GB2312" w:hAnsi="仿宋" w:eastAsia="仿宋_GB2312"/>
          <w:color w:val="auto"/>
          <w:sz w:val="32"/>
          <w:szCs w:val="32"/>
          <w:lang w:eastAsia="zh-CN"/>
        </w:rPr>
        <w:t>个工作日内乙方付清第一期租金，其他租金在每期开始前</w:t>
      </w:r>
      <w:r>
        <w:rPr>
          <w:rFonts w:hint="eastAsia" w:ascii="仿宋_GB2312" w:hAnsi="仿宋" w:eastAsia="仿宋_GB2312"/>
          <w:color w:val="auto"/>
          <w:sz w:val="32"/>
          <w:szCs w:val="32"/>
          <w:lang w:val="en-US" w:eastAsia="zh-CN"/>
        </w:rPr>
        <w:t>10日</w:t>
      </w:r>
      <w:r>
        <w:rPr>
          <w:rFonts w:hint="eastAsia" w:ascii="仿宋_GB2312" w:hAnsi="仿宋" w:eastAsia="仿宋_GB2312"/>
          <w:color w:val="auto"/>
          <w:sz w:val="32"/>
          <w:szCs w:val="32"/>
          <w:lang w:eastAsia="zh-CN"/>
        </w:rPr>
        <w:t>内付清。</w:t>
      </w:r>
    </w:p>
    <w:p w14:paraId="476B103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（二）乙方所有租金、履约保证金等款项均应以银行转账方式支付至甲方指定的下列银行账户：</w:t>
      </w:r>
    </w:p>
    <w:p w14:paraId="72F667D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w:t>
      </w:r>
    </w:p>
    <w:p w14:paraId="4385605A">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w:t>
      </w:r>
    </w:p>
    <w:p w14:paraId="418C060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w:t>
      </w:r>
    </w:p>
    <w:p w14:paraId="3A4B4BE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52E42C1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w:t>
      </w:r>
    </w:p>
    <w:p w14:paraId="18AD7E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w:t>
      </w:r>
      <w:r>
        <w:rPr>
          <w:rFonts w:hint="eastAsia" w:ascii="仿宋_GB2312" w:hAnsi="仿宋" w:eastAsia="仿宋_GB2312"/>
          <w:color w:val="auto"/>
          <w:sz w:val="32"/>
          <w:szCs w:val="32"/>
          <w:lang w:val="en-US" w:eastAsia="zh-CN"/>
        </w:rPr>
        <w:t>增值税专用</w:t>
      </w:r>
      <w:r>
        <w:rPr>
          <w:rFonts w:hint="eastAsia" w:ascii="仿宋_GB2312" w:hAnsi="仿宋" w:eastAsia="仿宋_GB2312"/>
          <w:color w:val="auto"/>
          <w:sz w:val="32"/>
          <w:szCs w:val="32"/>
          <w:lang w:eastAsia="zh-CN"/>
        </w:rPr>
        <w:t>发票（租金为含税价，税率为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r>
        <w:rPr>
          <w:rFonts w:hint="eastAsia" w:ascii="仿宋_GB2312" w:hAnsi="仿宋" w:eastAsia="仿宋_GB2312" w:cs="Times New Roman"/>
          <w:color w:val="auto"/>
          <w:sz w:val="32"/>
          <w:szCs w:val="32"/>
          <w:lang w:eastAsia="zh-CN"/>
        </w:rPr>
        <w:t>租赁期间若发生国家税率调整的，已支付的租金不进行调整，自下个租赁年度开始适用调整后的新税率，</w:t>
      </w:r>
      <w:r>
        <w:rPr>
          <w:rFonts w:hint="eastAsia" w:ascii="仿宋_GB2312" w:hAnsi="仿宋" w:eastAsia="仿宋_GB2312" w:cs="Times New Roman"/>
          <w:color w:val="auto"/>
          <w:sz w:val="32"/>
          <w:szCs w:val="32"/>
          <w:lang w:val="en-US" w:eastAsia="zh-CN"/>
        </w:rPr>
        <w:t>含税</w:t>
      </w:r>
      <w:r>
        <w:rPr>
          <w:rFonts w:hint="eastAsia" w:ascii="仿宋_GB2312" w:hAnsi="仿宋" w:eastAsia="仿宋_GB2312" w:cs="Times New Roman"/>
          <w:color w:val="auto"/>
          <w:sz w:val="32"/>
          <w:szCs w:val="32"/>
          <w:lang w:eastAsia="zh-CN"/>
        </w:rPr>
        <w:t>租金作相应调整</w:t>
      </w:r>
      <w:r>
        <w:rPr>
          <w:rFonts w:hint="eastAsia" w:ascii="仿宋_GB2312" w:hAnsi="仿宋" w:eastAsia="仿宋_GB2312"/>
          <w:color w:val="auto"/>
          <w:sz w:val="32"/>
          <w:szCs w:val="32"/>
          <w:lang w:eastAsia="zh-CN"/>
        </w:rPr>
        <w:t>。</w:t>
      </w:r>
    </w:p>
    <w:p w14:paraId="533650C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val="en-US" w:eastAsia="zh-CN"/>
        </w:rPr>
        <w:t xml:space="preserve">                 </w:t>
      </w:r>
    </w:p>
    <w:p w14:paraId="77D78D4C">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45F121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2E8E11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租赁资产发生的水电费、燃气费、物业管理费、卫生费、收视费、互联网费、通讯费、电梯费（电梯若产生费用由各层公摊计算）等；</w:t>
      </w:r>
    </w:p>
    <w:p w14:paraId="17A450DE">
      <w:pPr>
        <w:numPr>
          <w:ilvl w:val="0"/>
          <w:numId w:val="2"/>
        </w:num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1F8A26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（二）乙方应对经营活动产生的噪音、废水、废气进行妥善处理，不得为此影响周边居民和单位的正常工作、生活，因环境污染造成的一切损失和责任均由乙方承担。</w:t>
      </w:r>
    </w:p>
    <w:p w14:paraId="25616A42">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509A9757">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由甲方享有，但法律、法规规定应当由乙方享有的除外。</w:t>
      </w:r>
    </w:p>
    <w:p w14:paraId="47F20C29">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甲方因企业发展和公益目的等需要有权随时收回租赁资产且无需承担任何违约责任，租金按日计算至乙方实际腾退之日，多退少补。</w:t>
      </w:r>
    </w:p>
    <w:p w14:paraId="120308C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50D8E7C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22309A4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bookmarkStart w:id="0" w:name="_Hlk181239078"/>
      <w:r>
        <w:rPr>
          <w:rFonts w:hint="eastAsia" w:ascii="仿宋_GB2312" w:hAnsi="仿宋" w:eastAsia="仿宋_GB2312"/>
          <w:color w:val="auto"/>
          <w:sz w:val="32"/>
          <w:szCs w:val="32"/>
          <w:lang w:eastAsia="zh-CN"/>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color w:val="auto"/>
          <w:sz w:val="32"/>
          <w:szCs w:val="32"/>
          <w:lang w:eastAsia="zh-CN"/>
        </w:rPr>
        <w:t>按规定须向有关部门审批的，</w:t>
      </w:r>
      <w:r>
        <w:rPr>
          <w:rFonts w:hint="eastAsia" w:ascii="仿宋_GB2312" w:hAnsi="仿宋" w:eastAsia="仿宋_GB2312"/>
          <w:color w:val="auto"/>
          <w:sz w:val="32"/>
          <w:szCs w:val="32"/>
          <w:highlight w:val="none"/>
          <w:lang w:eastAsia="zh-CN"/>
        </w:rPr>
        <w:t>则还应报请有关部门批准后，方可进行，</w:t>
      </w:r>
      <w:bookmarkStart w:id="1" w:name="_Hlk181239143"/>
      <w:r>
        <w:rPr>
          <w:rFonts w:hint="eastAsia" w:ascii="仿宋_GB2312" w:hAnsi="仿宋" w:eastAsia="仿宋_GB2312"/>
          <w:color w:val="auto"/>
          <w:sz w:val="32"/>
          <w:szCs w:val="32"/>
          <w:highlight w:val="none"/>
          <w:lang w:eastAsia="zh-CN"/>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738A5174">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租赁期满或合同提前终止时，若乙方改变原甲方交付乙方时的房屋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现状的，乙方交还租赁资产时应按甲方要求无条件恢复原状，并承担相应费用。</w:t>
      </w:r>
    </w:p>
    <w:p w14:paraId="67083F4B">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08F34B19">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资产租赁期间房屋(土地)及附属物品、设备设施维修养护及费用由乙方负责。因乙方保管不当、不合理使用或未及时维修</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致使房屋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及其附属物品、设备设施发生损坏或故障的</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乙方应负责维修，如无法维修应按照设备设施的市场价承担赔偿责任。</w:t>
      </w:r>
    </w:p>
    <w:p w14:paraId="18238F8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乙方在经营过程中，由于乙方原因造成第三人财产损失、人身损害或其他侵权情形的，由乙方自行承担一切损失和责任，若甲方因此遭受损失的，乙方还应承担全额赔偿责任。</w:t>
      </w:r>
    </w:p>
    <w:p w14:paraId="7F2F1BF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721BCB56">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乙方若要终止租赁关系，须提前三个月书面通知甲方，租金按日计算至乙方实际腾退之日，多退少补。未提前三个月告知的应当向甲方支付一个月的租金作为违约金，有其他违约情形的还应承担相应违约责任。</w:t>
      </w:r>
    </w:p>
    <w:p w14:paraId="43AE7F97">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第九条 违约责任</w:t>
      </w:r>
    </w:p>
    <w:p w14:paraId="76BB6B5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Start w:id="2" w:name="_Hlk181259651"/>
      <w:r>
        <w:rPr>
          <w:rFonts w:hint="eastAsia" w:ascii="仿宋_GB2312" w:hAnsi="仿宋" w:eastAsia="仿宋_GB2312"/>
          <w:color w:val="auto"/>
          <w:sz w:val="32"/>
          <w:szCs w:val="32"/>
          <w:highlight w:val="none"/>
          <w:lang w:eastAsia="zh-CN"/>
        </w:rPr>
        <w:t>如不足以弥补给甲方造成实际损失的，乙方还应承担赔偿责任</w:t>
      </w:r>
      <w:bookmarkEnd w:id="2"/>
      <w:r>
        <w:rPr>
          <w:rFonts w:hint="eastAsia" w:ascii="仿宋_GB2312" w:hAnsi="仿宋" w:eastAsia="仿宋_GB2312"/>
          <w:color w:val="auto"/>
          <w:sz w:val="32"/>
          <w:szCs w:val="32"/>
          <w:highlight w:val="none"/>
          <w:lang w:eastAsia="zh-CN"/>
        </w:rPr>
        <w:t>。</w:t>
      </w:r>
    </w:p>
    <w:p w14:paraId="0E7F944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（二）合同期内，未经双方协商一致乙方需提前解除/终止本合同或未按协议约定时间通知甲方即解除的，视为乙方违约，</w:t>
      </w:r>
      <w:bookmarkStart w:id="3" w:name="_Hlk181259529"/>
      <w:r>
        <w:rPr>
          <w:rFonts w:hint="eastAsia" w:ascii="仿宋_GB2312" w:hAnsi="仿宋" w:eastAsia="仿宋_GB2312"/>
          <w:color w:val="auto"/>
          <w:sz w:val="32"/>
          <w:szCs w:val="32"/>
          <w:highlight w:val="none"/>
          <w:lang w:eastAsia="zh-CN"/>
        </w:rPr>
        <w:t>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w:t>
      </w:r>
      <w:bookmarkStart w:id="4" w:name="_Hlk181259677"/>
      <w:r>
        <w:rPr>
          <w:rFonts w:hint="eastAsia" w:ascii="仿宋_GB2312" w:hAnsi="仿宋" w:eastAsia="仿宋_GB2312"/>
          <w:color w:val="auto"/>
          <w:sz w:val="32"/>
          <w:szCs w:val="32"/>
          <w:highlight w:val="none"/>
          <w:lang w:eastAsia="zh-CN"/>
        </w:rPr>
        <w:t>如不足以弥补给甲方造成实际损失的，乙方还应承担赔偿责任</w:t>
      </w:r>
      <w:bookmarkEnd w:id="4"/>
      <w:r>
        <w:rPr>
          <w:rFonts w:hint="eastAsia" w:ascii="仿宋_GB2312" w:hAnsi="仿宋" w:eastAsia="仿宋_GB2312"/>
          <w:color w:val="auto"/>
          <w:sz w:val="32"/>
          <w:szCs w:val="32"/>
          <w:highlight w:val="none"/>
          <w:lang w:eastAsia="zh-CN"/>
        </w:rPr>
        <w:t>。</w:t>
      </w:r>
    </w:p>
    <w:bookmarkEnd w:id="3"/>
    <w:p w14:paraId="38CF2B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（三）租赁期满（或合同提前终止的），乙方应于租赁期届满当日（或双方协商指定的合理期限内）完成腾退，向甲方归还该房屋(土地)（以</w:t>
      </w:r>
      <w:r>
        <w:rPr>
          <w:rFonts w:hint="eastAsia" w:ascii="仿宋_GB2312" w:hAnsi="仿宋" w:eastAsia="仿宋_GB2312"/>
          <w:color w:val="auto"/>
          <w:sz w:val="32"/>
          <w:szCs w:val="32"/>
          <w:highlight w:val="none"/>
          <w:lang w:val="en-US" w:eastAsia="zh-CN"/>
        </w:rPr>
        <w:t>腾退</w:t>
      </w:r>
      <w:r>
        <w:rPr>
          <w:rFonts w:hint="eastAsia" w:ascii="仿宋_GB2312" w:hAnsi="仿宋" w:eastAsia="仿宋_GB2312"/>
          <w:color w:val="auto"/>
          <w:sz w:val="32"/>
          <w:szCs w:val="32"/>
          <w:highlight w:val="none"/>
          <w:lang w:eastAsia="zh-CN"/>
        </w:rPr>
        <w:t>确认书为准），若乙方逾期交还该租赁房屋(土地)，甲方有权要求乙方应按原日租金的双倍每日向甲方支付占有使用费。</w:t>
      </w:r>
    </w:p>
    <w:p w14:paraId="786656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%支付违约金，如不足以弥补给甲方造成实际损失的，乙方还应承担赔偿责任。</w:t>
      </w:r>
    </w:p>
    <w:p w14:paraId="6721A6BD">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全部履约保证金，并</w:t>
      </w:r>
      <w:bookmarkStart w:id="5" w:name="_Hlk181260133"/>
      <w:r>
        <w:rPr>
          <w:rFonts w:hint="eastAsia" w:ascii="仿宋_GB2312" w:hAnsi="仿宋" w:eastAsia="仿宋_GB2312"/>
          <w:color w:val="auto"/>
          <w:sz w:val="32"/>
          <w:szCs w:val="32"/>
          <w:highlight w:val="none"/>
          <w:lang w:eastAsia="zh-CN"/>
        </w:rPr>
        <w:t>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End w:id="5"/>
      <w:r>
        <w:rPr>
          <w:rFonts w:hint="eastAsia" w:ascii="仿宋_GB2312" w:hAnsi="仿宋" w:eastAsia="仿宋_GB2312"/>
          <w:color w:val="auto"/>
          <w:sz w:val="32"/>
          <w:szCs w:val="32"/>
          <w:highlight w:val="none"/>
          <w:lang w:eastAsia="zh-CN"/>
        </w:rPr>
        <w:t>如不足以弥补给甲方造成实际损失的，乙方还应承担赔偿责任。</w:t>
      </w:r>
    </w:p>
    <w:p w14:paraId="4C26B477">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（六）因乙方违约，甲方为追索赔偿而支付的律师费、公证费、保全费、担保费和差旅费等费用均由乙方承担。</w:t>
      </w:r>
    </w:p>
    <w:p w14:paraId="52BC38B4">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（七）在合同有效期内，如遇到不可抗力因素，致使合同无法履行，双方互不承担责任，所产生的经济损失由双方各自承担，如遇租赁资产拆迁、征用等政府行为的，一方无须向另一方承担违约责任或赔偿责任。</w:t>
      </w:r>
    </w:p>
    <w:p w14:paraId="50ECAFE2">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05AB77B2">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第十条 争议处理方式</w:t>
      </w:r>
    </w:p>
    <w:p w14:paraId="65582D5E">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（一）本合同受中华人民共和国法律管辖并按其进行解释。</w:t>
      </w:r>
    </w:p>
    <w:p w14:paraId="09192F0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（二）本合同在履行过程中发生的争议由双方当事人协商解决。</w:t>
      </w:r>
    </w:p>
    <w:p w14:paraId="472A119B">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（三）协商不成时，由租赁资产所在地人民法院诉讼管辖。</w:t>
      </w:r>
    </w:p>
    <w:p w14:paraId="3F3F0708">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第十一条 其他</w:t>
      </w:r>
    </w:p>
    <w:p w14:paraId="621D5A40">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对于本合同未尽事项，双方可另行签订补充协议，补充协议作为本合同的附件，具有同等法律效力。</w:t>
      </w:r>
    </w:p>
    <w:p w14:paraId="560BA0FA">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本合同须经甲乙双方签章，若乙方为法人单位的，需经双方法定代表人或授权代表签章后生效。</w:t>
      </w:r>
    </w:p>
    <w:p w14:paraId="1DF36A65">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highlight w:val="none"/>
          <w:lang w:eastAsia="zh-CN"/>
        </w:rPr>
        <w:t>乙方确认以下地址、手机号、电子邮箱为接收文书资料（含司法程序中文书资料）的指定地址和联系方式。乙方送达地址：</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，联系人：</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，电子邮箱：</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。如有变更应书面通知对方，否则相关文书资料纸质版，快递发出后两日视为送达；电子方式（电子邮件、微信等）发出的，发出即视为</w:t>
      </w:r>
      <w:r>
        <w:rPr>
          <w:rFonts w:hint="eastAsia" w:ascii="仿宋_GB2312" w:hAnsi="仿宋" w:eastAsia="仿宋_GB2312"/>
          <w:color w:val="auto"/>
          <w:sz w:val="32"/>
          <w:szCs w:val="32"/>
          <w:lang w:eastAsia="zh-CN"/>
        </w:rPr>
        <w:t>送达。</w:t>
      </w:r>
    </w:p>
    <w:p w14:paraId="0825DA42">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0D917273">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2B33A78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D35EA04">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2D2DAFD8">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6C4AC704">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5ACE582F">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p>
    <w:p w14:paraId="5CD034DE">
      <w:pPr>
        <w:adjustRightInd w:val="0"/>
        <w:snapToGrid w:val="0"/>
        <w:spacing w:line="560" w:lineRule="exact"/>
        <w:jc w:val="both"/>
        <w:rPr>
          <w:rFonts w:ascii="仿宋_GB2312" w:hAnsi="仿宋" w:eastAsia="仿宋_GB2312"/>
          <w:color w:val="auto"/>
          <w:sz w:val="32"/>
          <w:szCs w:val="32"/>
          <w:lang w:eastAsia="zh-CN"/>
        </w:rPr>
      </w:pPr>
      <w:r>
        <w:rPr>
          <w:rFonts w:hint="eastAsia" w:eastAsia="仿宋"/>
          <w:sz w:val="28"/>
          <w:szCs w:val="28"/>
          <w:lang w:eastAsia="zh-CN"/>
        </w:rPr>
        <w:t>（以下签署页，无正文）</w:t>
      </w:r>
    </w:p>
    <w:p w14:paraId="2F765B9A">
      <w:pPr>
        <w:adjustRightInd w:val="0"/>
        <w:snapToGrid w:val="0"/>
        <w:spacing w:line="560" w:lineRule="exact"/>
        <w:ind w:firstLine="640" w:firstLineChars="200"/>
        <w:jc w:val="both"/>
        <w:rPr>
          <w:rFonts w:ascii="仿宋_GB2312" w:hAnsi="仿宋" w:eastAsia="仿宋_GB2312"/>
          <w:color w:val="auto"/>
          <w:sz w:val="32"/>
          <w:szCs w:val="32"/>
          <w:lang w:eastAsia="zh-CN"/>
        </w:rPr>
      </w:pPr>
    </w:p>
    <w:p w14:paraId="54DAD4F7">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F7C9C88">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6D7DB12F">
      <w:pPr>
        <w:adjustRightInd w:val="0"/>
        <w:snapToGrid w:val="0"/>
        <w:spacing w:line="560" w:lineRule="exact"/>
        <w:ind w:firstLine="1280" w:firstLineChars="400"/>
        <w:jc w:val="both"/>
        <w:rPr>
          <w:rFonts w:hint="eastAsia" w:ascii="仿宋_GB2312" w:hAnsi="仿宋" w:eastAsia="仿宋_GB2312"/>
          <w:color w:val="auto"/>
          <w:sz w:val="32"/>
          <w:szCs w:val="32"/>
          <w:lang w:eastAsia="zh-CN"/>
        </w:rPr>
      </w:pPr>
    </w:p>
    <w:p w14:paraId="1344A966">
      <w:pPr>
        <w:adjustRightInd w:val="0"/>
        <w:snapToGrid w:val="0"/>
        <w:spacing w:line="560" w:lineRule="exact"/>
        <w:ind w:firstLine="1280" w:firstLineChars="4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8DD108F">
      <w:pPr>
        <w:adjustRightInd w:val="0"/>
        <w:snapToGrid w:val="0"/>
        <w:spacing w:line="560" w:lineRule="exact"/>
        <w:ind w:firstLine="1280" w:firstLineChars="400"/>
        <w:jc w:val="both"/>
        <w:rPr>
          <w:rFonts w:ascii="仿宋_GB2312" w:hAnsi="仿宋" w:eastAsia="仿宋_GB2312"/>
          <w:color w:val="auto"/>
          <w:sz w:val="32"/>
          <w:szCs w:val="32"/>
          <w:lang w:eastAsia="zh-CN"/>
        </w:rPr>
      </w:pPr>
    </w:p>
    <w:p w14:paraId="68C1930A">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_GB2312" w:eastAsia="仿宋_GB2312" w:cs="仿宋_GB2312"/>
          <w:color w:val="auto"/>
          <w:sz w:val="32"/>
          <w:szCs w:val="32"/>
          <w:lang w:eastAsia="zh-CN" w:bidi="ar-SA"/>
        </w:rPr>
        <w:t>注：租赁范本合同仅供参考。</w:t>
      </w:r>
    </w:p>
    <w:p w14:paraId="15C824E8">
      <w:pPr>
        <w:widowControl/>
        <w:rPr>
          <w:rFonts w:ascii="仿宋" w:hAnsi="仿宋" w:eastAsia="仿宋" w:cs="仿宋"/>
          <w:color w:val="auto"/>
          <w:sz w:val="32"/>
          <w:szCs w:val="32"/>
          <w:lang w:val="zh-TW" w:eastAsia="zh-CN" w:bidi="zh-TW"/>
        </w:rPr>
      </w:pPr>
      <w:r>
        <w:rPr>
          <w:rFonts w:ascii="仿宋" w:hAnsi="仿宋" w:eastAsia="仿宋" w:cs="仿宋"/>
          <w:color w:val="auto"/>
          <w:sz w:val="32"/>
          <w:szCs w:val="32"/>
          <w:lang w:eastAsia="zh-CN"/>
        </w:rPr>
        <w:br w:type="page"/>
      </w:r>
    </w:p>
    <w:p w14:paraId="6A5A2887">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81335D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30DA0A3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0B2753F8">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4D5B32AA">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3B049F5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462D8F93">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B5743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2B5525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03ABD87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B8BE93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1232AF9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8641E6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78C448F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7AAEC708">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782DFBC">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1C77870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5826411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 xml:space="preserve">    </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lang w:eastAsia="zh-CN"/>
        </w:rPr>
        <w:t>，并由乙方根据租赁合同的约定承担合同解除的对应责任。</w:t>
      </w:r>
    </w:p>
    <w:p w14:paraId="24EAAD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4C2C9EA1">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《出租资产安全协议》与《房屋（土地）租赁合同》具有同等效力，《出租资产安全协议》一式肆份，出租方、承租方各贰份。</w:t>
      </w:r>
    </w:p>
    <w:p w14:paraId="2ED4E44E">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本协议自双方签章，若承租方系法人单位的，还需双方法定代表人或授权代表签章之日起生效。</w:t>
      </w:r>
    </w:p>
    <w:p w14:paraId="51BE30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09EC40C5">
      <w:pPr>
        <w:pStyle w:val="13"/>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74514EE5">
      <w:pPr>
        <w:adjustRightInd w:val="0"/>
        <w:snapToGrid w:val="0"/>
        <w:spacing w:line="560" w:lineRule="exact"/>
        <w:ind w:firstLine="640" w:firstLineChars="200"/>
        <w:rPr>
          <w:rFonts w:ascii="仿宋_GB2312" w:hAnsi="仿宋" w:eastAsia="仿宋_GB2312"/>
          <w:color w:val="auto"/>
          <w:sz w:val="32"/>
          <w:szCs w:val="32"/>
          <w:lang w:eastAsia="zh-CN"/>
        </w:rPr>
      </w:pPr>
    </w:p>
    <w:p w14:paraId="2306E699">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49B322CB">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16824181">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                       地址：</w:t>
      </w:r>
    </w:p>
    <w:p w14:paraId="2D6525A6">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电话：                       电话：</w:t>
      </w:r>
    </w:p>
    <w:p w14:paraId="017821A1">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41CB4AA">
      <w:pPr>
        <w:spacing w:line="440" w:lineRule="exact"/>
        <w:jc w:val="left"/>
        <w:rPr>
          <w:rFonts w:ascii="仿宋_GB2312" w:hAnsi="仿宋_GB2312" w:eastAsia="仿宋_GB2312" w:cs="仿宋_GB2312"/>
          <w:color w:val="auto"/>
          <w:kern w:val="0"/>
          <w:sz w:val="32"/>
          <w:szCs w:val="32"/>
          <w:lang w:eastAsia="zh-CN" w:bidi="ar-SA"/>
        </w:rPr>
      </w:pPr>
    </w:p>
    <w:p w14:paraId="712FF539"/>
    <w:p w14:paraId="0DB00F0F">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3">
    <w:nsid w:val="54EB6FFE"/>
    <w:multiLevelType w:val="singleLevel"/>
    <w:tmpl w:val="54EB6FFE"/>
    <w:lvl w:ilvl="0" w:tentative="0">
      <w:start w:val="1"/>
      <w:numFmt w:val="chineseCounting"/>
      <w:suff w:val="nothing"/>
      <w:lvlText w:val="（%1）"/>
      <w:lvlJc w:val="left"/>
      <w:rPr>
        <w:rFonts w:hint="eastAsia"/>
      </w:rPr>
    </w:lvl>
  </w:abstractNum>
  <w:abstractNum w:abstractNumId="4">
    <w:nsid w:val="784C1713"/>
    <w:multiLevelType w:val="singleLevel"/>
    <w:tmpl w:val="784C1713"/>
    <w:lvl w:ilvl="0" w:tentative="0">
      <w:start w:val="1"/>
      <w:numFmt w:val="decimal"/>
      <w:suff w:val="nothing"/>
      <w:lvlText w:val="%1、"/>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D24052A"/>
    <w:rsid w:val="1DA43B34"/>
    <w:rsid w:val="1FB95035"/>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84035D3"/>
    <w:rsid w:val="588767A0"/>
    <w:rsid w:val="5A566F12"/>
    <w:rsid w:val="5D4F6922"/>
    <w:rsid w:val="5DEB66DA"/>
    <w:rsid w:val="5DF300E3"/>
    <w:rsid w:val="5FDE7C96"/>
    <w:rsid w:val="60DD0FD5"/>
    <w:rsid w:val="652C579B"/>
    <w:rsid w:val="65A11057"/>
    <w:rsid w:val="668A66FA"/>
    <w:rsid w:val="68822739"/>
    <w:rsid w:val="693B781C"/>
    <w:rsid w:val="6B76151E"/>
    <w:rsid w:val="6C4D4AC4"/>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9747</Words>
  <Characters>10082</Characters>
  <Lines>0</Lines>
  <Paragraphs>0</Paragraphs>
  <TotalTime>0</TotalTime>
  <ScaleCrop>false</ScaleCrop>
  <LinksUpToDate>false</LinksUpToDate>
  <CharactersWithSpaces>10685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2024-11-25T07:22:53Z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D286F571AB1E4A0CA7FF948556377CE1</vt:lpwstr>
  </property>
</Properties>
</file>